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9FC" w:rsidRPr="0024259F" w:rsidRDefault="00E908CD" w:rsidP="00CC09FC">
      <w:pPr>
        <w:spacing w:after="0" w:line="240" w:lineRule="auto"/>
        <w:ind w:hanging="9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="00CC09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CC09FC" w:rsidRPr="002425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object w:dxaOrig="720" w:dyaOrig="10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2.5pt" o:ole="">
            <v:imagedata r:id="rId5" o:title=""/>
          </v:shape>
          <o:OLEObject Type="Embed" ProgID="PBrush" ShapeID="_x0000_i1025" DrawAspect="Content" ObjectID="_1727689733" r:id="rId6"/>
        </w:object>
      </w: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 w:rsidR="00853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</w:t>
      </w:r>
      <w:r w:rsidR="00CC09FC" w:rsidRPr="002425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</w:t>
      </w:r>
    </w:p>
    <w:p w:rsidR="00CC09FC" w:rsidRPr="0024259F" w:rsidRDefault="00CC09FC" w:rsidP="00CC09FC">
      <w:pPr>
        <w:spacing w:after="0" w:line="240" w:lineRule="auto"/>
        <w:ind w:left="907" w:hanging="90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2425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КОМУНАЛЬНЕ ПІДПРИЄМСТВО</w:t>
      </w:r>
    </w:p>
    <w:p w:rsidR="00CC09FC" w:rsidRPr="0024259F" w:rsidRDefault="00CC09FC" w:rsidP="00CC09FC">
      <w:pPr>
        <w:spacing w:after="0" w:line="240" w:lineRule="auto"/>
        <w:ind w:left="907" w:hanging="907"/>
        <w:jc w:val="center"/>
        <w:outlineLvl w:val="0"/>
        <w:rPr>
          <w:rFonts w:ascii="Arial Black" w:eastAsia="SimSun" w:hAnsi="Arial Black" w:cs="Times New Roman"/>
          <w:b/>
          <w:color w:val="000000"/>
          <w:sz w:val="32"/>
          <w:szCs w:val="32"/>
          <w:lang w:val="uk-UA" w:eastAsia="uk-UA"/>
        </w:rPr>
      </w:pPr>
      <w:r w:rsidRPr="0024259F">
        <w:rPr>
          <w:rFonts w:ascii="Arial Black" w:eastAsia="SimSun" w:hAnsi="Arial Black" w:cs="Times New Roman"/>
          <w:b/>
          <w:color w:val="000000"/>
          <w:sz w:val="32"/>
          <w:szCs w:val="32"/>
          <w:lang w:val="uk-UA" w:eastAsia="uk-UA"/>
        </w:rPr>
        <w:t>«БУЧАСЕРВІС»</w:t>
      </w:r>
    </w:p>
    <w:p w:rsidR="00CC09FC" w:rsidRPr="0024259F" w:rsidRDefault="00CC09FC" w:rsidP="00CC09FC">
      <w:pPr>
        <w:spacing w:after="0" w:line="240" w:lineRule="auto"/>
        <w:ind w:left="907" w:hanging="90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2425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БУЧАНСЬКОЇ МІСЬКОЇ РАДИ</w:t>
      </w:r>
    </w:p>
    <w:p w:rsidR="00CC09FC" w:rsidRPr="0024259F" w:rsidRDefault="00CC09FC" w:rsidP="00CC09FC">
      <w:pPr>
        <w:pBdr>
          <w:bottom w:val="single" w:sz="12" w:space="1" w:color="auto"/>
        </w:pBdr>
        <w:spacing w:after="0" w:line="240" w:lineRule="auto"/>
        <w:jc w:val="center"/>
        <w:rPr>
          <w:rFonts w:ascii="Calibri Light" w:eastAsia="SimSun" w:hAnsi="Calibri Light" w:cs="Calibri Light"/>
          <w:b/>
          <w:bCs/>
          <w:sz w:val="20"/>
          <w:szCs w:val="20"/>
          <w:lang w:val="uk-UA" w:eastAsia="ru-RU"/>
        </w:rPr>
      </w:pPr>
      <w:r w:rsidRPr="0024259F">
        <w:rPr>
          <w:rFonts w:ascii="Calibri Light" w:eastAsia="SimSun" w:hAnsi="Calibri Light" w:cs="Calibri Light"/>
          <w:b/>
          <w:bCs/>
          <w:sz w:val="20"/>
          <w:szCs w:val="20"/>
          <w:lang w:val="uk-UA" w:eastAsia="ru-RU"/>
        </w:rPr>
        <w:t xml:space="preserve">08292, Київська обл., </w:t>
      </w:r>
      <w:proofErr w:type="spellStart"/>
      <w:r w:rsidRPr="0024259F">
        <w:rPr>
          <w:rFonts w:ascii="Calibri Light" w:eastAsia="SimSun" w:hAnsi="Calibri Light" w:cs="Calibri Light"/>
          <w:b/>
          <w:bCs/>
          <w:sz w:val="20"/>
          <w:szCs w:val="20"/>
          <w:lang w:val="uk-UA" w:eastAsia="ru-RU"/>
        </w:rPr>
        <w:t>Бучанський</w:t>
      </w:r>
      <w:proofErr w:type="spellEnd"/>
      <w:r w:rsidRPr="0024259F">
        <w:rPr>
          <w:rFonts w:ascii="Calibri Light" w:eastAsia="SimSun" w:hAnsi="Calibri Light" w:cs="Calibri Light"/>
          <w:b/>
          <w:bCs/>
          <w:sz w:val="20"/>
          <w:szCs w:val="20"/>
          <w:lang w:val="uk-UA" w:eastAsia="ru-RU"/>
        </w:rPr>
        <w:t xml:space="preserve"> р-н, м. Буча, вул. Енергетиків, 2</w:t>
      </w:r>
    </w:p>
    <w:p w:rsidR="00CC09FC" w:rsidRPr="00495999" w:rsidRDefault="00F53DEE" w:rsidP="00CC09FC">
      <w:pPr>
        <w:pBdr>
          <w:bottom w:val="single" w:sz="12" w:space="1" w:color="auto"/>
        </w:pBdr>
        <w:spacing w:after="0" w:line="240" w:lineRule="auto"/>
        <w:jc w:val="center"/>
        <w:rPr>
          <w:rFonts w:ascii="Calibri Light" w:eastAsia="SimSun" w:hAnsi="Calibri Light" w:cs="Calibri Light"/>
          <w:b/>
          <w:bCs/>
          <w:lang w:val="uk-UA" w:eastAsia="zh-CN"/>
        </w:rPr>
      </w:pPr>
      <w:hyperlink r:id="rId7" w:history="1">
        <w:r w:rsidR="00CC09FC" w:rsidRPr="001A7658">
          <w:rPr>
            <w:rStyle w:val="a8"/>
            <w:rFonts w:ascii="Calibri Light" w:eastAsia="SimSun" w:hAnsi="Calibri Light" w:cs="Calibri Light"/>
            <w:b/>
            <w:bCs/>
            <w:lang w:val="uk-UA" w:eastAsia="zh-CN"/>
          </w:rPr>
          <w:t>kp_buchaservys@bucha-rada.gov.ua</w:t>
        </w:r>
      </w:hyperlink>
      <w:r w:rsidR="00CC09FC">
        <w:rPr>
          <w:rFonts w:ascii="Calibri Light" w:eastAsia="SimSun" w:hAnsi="Calibri Light" w:cs="Calibri Light"/>
          <w:b/>
          <w:bCs/>
          <w:lang w:val="uk-UA" w:eastAsia="zh-CN"/>
        </w:rPr>
        <w:t xml:space="preserve"> </w:t>
      </w:r>
      <w:r w:rsidR="00CC09FC" w:rsidRPr="0024259F">
        <w:rPr>
          <w:rFonts w:ascii="Calibri Light" w:eastAsia="SimSun" w:hAnsi="Calibri Light" w:cs="Calibri Light"/>
          <w:b/>
          <w:bCs/>
          <w:sz w:val="20"/>
          <w:szCs w:val="20"/>
          <w:lang w:val="uk-UA" w:eastAsia="ru-RU"/>
        </w:rPr>
        <w:t xml:space="preserve">ЄДРПОУ: 25689882 </w:t>
      </w:r>
      <w:proofErr w:type="spellStart"/>
      <w:r w:rsidR="00CC09FC" w:rsidRPr="0024259F">
        <w:rPr>
          <w:rFonts w:ascii="Calibri Light" w:eastAsia="SimSun" w:hAnsi="Calibri Light" w:cs="Calibri Light"/>
          <w:b/>
          <w:bCs/>
          <w:sz w:val="20"/>
          <w:szCs w:val="20"/>
          <w:lang w:val="uk-UA" w:eastAsia="ru-RU"/>
        </w:rPr>
        <w:t>тел</w:t>
      </w:r>
      <w:proofErr w:type="spellEnd"/>
      <w:r w:rsidR="00CC09FC" w:rsidRPr="0024259F">
        <w:rPr>
          <w:rFonts w:ascii="Calibri Light" w:eastAsia="SimSun" w:hAnsi="Calibri Light" w:cs="Calibri Light"/>
          <w:b/>
          <w:bCs/>
          <w:sz w:val="20"/>
          <w:szCs w:val="20"/>
          <w:lang w:val="uk-UA" w:eastAsia="ru-RU"/>
        </w:rPr>
        <w:t>./факс (04597) 49-092</w:t>
      </w:r>
    </w:p>
    <w:p w:rsidR="00CC09FC" w:rsidRPr="0024259F" w:rsidRDefault="00CC09FC" w:rsidP="00CC09FC">
      <w:pPr>
        <w:pBdr>
          <w:bottom w:val="single" w:sz="12" w:space="1" w:color="auto"/>
        </w:pBdr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sz w:val="20"/>
          <w:szCs w:val="20"/>
          <w:lang w:val="uk-UA" w:eastAsia="ru-RU"/>
        </w:rPr>
      </w:pPr>
    </w:p>
    <w:p w:rsidR="00CC09FC" w:rsidRPr="0024259F" w:rsidRDefault="00CC09FC" w:rsidP="00CC09FC">
      <w:pPr>
        <w:shd w:val="clear" w:color="auto" w:fill="FFFFFF"/>
        <w:spacing w:after="0" w:line="274" w:lineRule="exact"/>
        <w:ind w:right="-86"/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val="uk-UA" w:eastAsia="ru-RU"/>
        </w:rPr>
      </w:pPr>
      <w:r w:rsidRPr="0024259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uk-UA" w:eastAsia="ru-RU"/>
        </w:rPr>
        <w:t>________</w:t>
      </w:r>
      <w:r w:rsidRPr="0024259F">
        <w:rPr>
          <w:rFonts w:ascii="Times New Roman" w:eastAsia="Times New Roman" w:hAnsi="Times New Roman" w:cs="Times New Roman"/>
          <w:b/>
          <w:color w:val="000000"/>
          <w:spacing w:val="-9"/>
          <w:sz w:val="24"/>
          <w:szCs w:val="24"/>
          <w:lang w:val="uk-UA" w:eastAsia="ru-RU"/>
        </w:rPr>
        <w:t xml:space="preserve">  № ____________</w:t>
      </w:r>
    </w:p>
    <w:p w:rsidR="00CC09FC" w:rsidRPr="0024259F" w:rsidRDefault="00CC09FC" w:rsidP="00CC09FC">
      <w:pPr>
        <w:shd w:val="clear" w:color="auto" w:fill="FFFFFF"/>
        <w:spacing w:after="0" w:line="274" w:lineRule="exact"/>
        <w:ind w:right="-86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uk-UA" w:eastAsia="ru-RU"/>
        </w:rPr>
      </w:pPr>
    </w:p>
    <w:p w:rsidR="00CC09FC" w:rsidRPr="0024259F" w:rsidRDefault="00CC09FC" w:rsidP="00CC09FC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2425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Бучанському</w:t>
      </w:r>
      <w:proofErr w:type="spellEnd"/>
      <w:r w:rsidRPr="002425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міському голові</w:t>
      </w:r>
    </w:p>
    <w:p w:rsidR="00CC09FC" w:rsidRPr="0024259F" w:rsidRDefault="00CC09FC" w:rsidP="00CC09FC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2425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Антолію</w:t>
      </w:r>
      <w:proofErr w:type="spellEnd"/>
      <w:r w:rsidRPr="002425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ФЕДОРУКУ </w:t>
      </w:r>
    </w:p>
    <w:p w:rsidR="00CC09FC" w:rsidRPr="0024259F" w:rsidRDefault="00CC09FC" w:rsidP="00CC09FC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425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Енергетиків, 12,</w:t>
      </w:r>
    </w:p>
    <w:p w:rsidR="00CC09FC" w:rsidRPr="0024259F" w:rsidRDefault="00CC09FC" w:rsidP="00CC09FC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425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Буча, 08292</w:t>
      </w:r>
    </w:p>
    <w:p w:rsidR="00CC09FC" w:rsidRPr="0024259F" w:rsidRDefault="00CC09FC" w:rsidP="00CC09FC">
      <w:pPr>
        <w:spacing w:after="0" w:line="240" w:lineRule="auto"/>
        <w:ind w:left="3540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09FC" w:rsidRDefault="00CC09FC" w:rsidP="00CC0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</w:t>
      </w:r>
    </w:p>
    <w:p w:rsidR="00CC09FC" w:rsidRPr="00782A95" w:rsidRDefault="00CC09FC" w:rsidP="00CC0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C09FC" w:rsidRDefault="00CC09FC" w:rsidP="00CC09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Відповідно до рішень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на баланс 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було передано ряд нежитлових приміщень комунальної форми власності, що розташовані на території населених пунктів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територіальної громади.</w:t>
      </w:r>
    </w:p>
    <w:p w:rsidR="00CC09FC" w:rsidRDefault="00CC09FC" w:rsidP="00CC09FC">
      <w:pPr>
        <w:tabs>
          <w:tab w:val="left" w:pos="3345"/>
        </w:tabs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A00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З метою ефективного використання майна комунальної форми власності та враховуючи те, що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нежитлове приміщення яке знаходиться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с. Ворзель, вул. Курортна, будинок 78, фактично використовує Комунальне підприємство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ради, просимо Вас винести на розгляд чергового засідання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питання про передачу нежитлового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приміщеня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балансу 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на баланс 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C09FC" w:rsidRPr="00495999" w:rsidRDefault="00CC09FC" w:rsidP="00CC09FC">
      <w:pPr>
        <w:tabs>
          <w:tab w:val="left" w:pos="334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59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Додатки:</w:t>
      </w:r>
    </w:p>
    <w:p w:rsidR="00CC09FC" w:rsidRPr="00495999" w:rsidRDefault="00CC09FC" w:rsidP="00CC09FC">
      <w:pPr>
        <w:pStyle w:val="a3"/>
        <w:numPr>
          <w:ilvl w:val="0"/>
          <w:numId w:val="4"/>
        </w:numPr>
        <w:tabs>
          <w:tab w:val="left" w:pos="33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59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проект рішення на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</w:t>
      </w:r>
      <w:r w:rsidRPr="004959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4959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арк</w:t>
      </w:r>
      <w:proofErr w:type="spellEnd"/>
      <w:r w:rsidRPr="004959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.;  </w:t>
      </w:r>
    </w:p>
    <w:p w:rsidR="00CC09FC" w:rsidRPr="00495999" w:rsidRDefault="00CC09FC" w:rsidP="00CC09FC">
      <w:pPr>
        <w:pStyle w:val="a3"/>
        <w:numPr>
          <w:ilvl w:val="0"/>
          <w:numId w:val="4"/>
        </w:numPr>
        <w:tabs>
          <w:tab w:val="left" w:pos="3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959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пропозиція –резолюція на 1 </w:t>
      </w:r>
      <w:proofErr w:type="spellStart"/>
      <w:r w:rsidRPr="004959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арк</w:t>
      </w:r>
      <w:proofErr w:type="spellEnd"/>
      <w:r w:rsidRPr="004959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C09FC" w:rsidRDefault="00CC09FC" w:rsidP="00CC09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09FC" w:rsidRDefault="00CC09FC" w:rsidP="00CC09FC">
      <w:pPr>
        <w:pStyle w:val="a3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09FC" w:rsidRPr="00C13E0A" w:rsidRDefault="00CC09FC" w:rsidP="00CC09FC">
      <w:pPr>
        <w:pStyle w:val="a3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09FC" w:rsidRPr="0024259F" w:rsidRDefault="00CC09FC" w:rsidP="00CC09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425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</w:t>
      </w:r>
      <w:r w:rsidRPr="002425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</w:t>
      </w:r>
      <w:r w:rsidRPr="002425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Сергій МОСТІПАКА</w:t>
      </w:r>
    </w:p>
    <w:p w:rsidR="00CC09FC" w:rsidRPr="0024259F" w:rsidRDefault="00CC09FC" w:rsidP="00CC09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C09FC" w:rsidRDefault="00CC09FC" w:rsidP="00CC09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C09FC" w:rsidRPr="00DA00B1" w:rsidRDefault="00CC09FC" w:rsidP="00CC09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DA00B1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>Виконавець</w:t>
      </w:r>
    </w:p>
    <w:p w:rsidR="00CC09FC" w:rsidRDefault="00CC09FC" w:rsidP="00CC09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A00B1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>Тетяна ЛАЗАРЄВА</w:t>
      </w:r>
    </w:p>
    <w:p w:rsidR="00CC09FC" w:rsidRDefault="00CC09FC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09FC" w:rsidRDefault="00CC09FC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09FC" w:rsidRDefault="00CC09FC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09FC" w:rsidRDefault="00CC09FC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09FC" w:rsidRDefault="00CC09FC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09FC" w:rsidRDefault="00CC09FC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09FC" w:rsidRDefault="00CC09FC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09FC" w:rsidRDefault="00CC09FC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09FC" w:rsidRDefault="00CC09FC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09FC" w:rsidRDefault="00CC09FC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09FC" w:rsidRDefault="00CC09FC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09FC" w:rsidRDefault="00CC09FC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09FC" w:rsidRDefault="00CC09FC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09FC" w:rsidRDefault="00CC09FC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09FC" w:rsidRDefault="00CC09FC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09FC" w:rsidRDefault="00CC09FC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853CBC" w:rsidP="00CC09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</w:t>
      </w:r>
      <w:r w:rsidR="00CC09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</w:p>
    <w:p w:rsidR="00E908CD" w:rsidRPr="0054057A" w:rsidRDefault="00E908CD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CC09FC" w:rsidRDefault="00E908CD" w:rsidP="00E90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 wp14:anchorId="7D5A4CC0" wp14:editId="0C3F5897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09F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</w:t>
      </w:r>
    </w:p>
    <w:p w:rsidR="00E908CD" w:rsidRPr="0054057A" w:rsidRDefault="00E908CD" w:rsidP="00E908CD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E908CD" w:rsidRPr="0054057A" w:rsidRDefault="00E908CD" w:rsidP="00E908CD">
      <w:pPr>
        <w:keepNext/>
        <w:pBdr>
          <w:bottom w:val="single" w:sz="12" w:space="1" w:color="auto"/>
        </w:pBdr>
        <w:spacing w:after="0" w:line="240" w:lineRule="auto"/>
        <w:ind w:left="54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F53DEE" w:rsidRPr="00F53DEE" w:rsidRDefault="00F53DEE" w:rsidP="00F53DEE">
      <w:pPr>
        <w:pStyle w:val="3"/>
        <w:tabs>
          <w:tab w:val="left" w:pos="8931"/>
        </w:tabs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ТРИДЦЯТЬ </w:t>
      </w:r>
      <w:r w:rsidRPr="00F53DEE">
        <w:rPr>
          <w:rFonts w:ascii="Times New Roman" w:hAnsi="Times New Roman" w:cs="Times New Roman"/>
          <w:sz w:val="28"/>
          <w:szCs w:val="28"/>
        </w:rPr>
        <w:t>ЧЕТВЕРТА СЕСІЯ ВОСЬМОГО СКЛИКАННЯ</w:t>
      </w:r>
    </w:p>
    <w:p w:rsidR="00CC09FC" w:rsidRPr="00F53DEE" w:rsidRDefault="00F53DEE" w:rsidP="00F53DEE">
      <w:pPr>
        <w:spacing w:before="240"/>
        <w:jc w:val="center"/>
        <w:rPr>
          <w:rFonts w:ascii="Times New Roman" w:hAnsi="Times New Roman" w:cs="Times New Roman"/>
          <w:b/>
          <w:lang w:val="uk-UA"/>
        </w:rPr>
      </w:pPr>
      <w:r w:rsidRPr="00F53DEE">
        <w:rPr>
          <w:rFonts w:ascii="Times New Roman" w:hAnsi="Times New Roman" w:cs="Times New Roman"/>
          <w:b/>
          <w:lang w:val="uk-UA"/>
        </w:rPr>
        <w:t>(ПОЗАЧЕРГОВА)</w:t>
      </w:r>
    </w:p>
    <w:p w:rsidR="00E908CD" w:rsidRPr="0054057A" w:rsidRDefault="00E908CD" w:rsidP="00E908CD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908CD" w:rsidRPr="0054057A" w:rsidRDefault="00785B67" w:rsidP="00E908C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____</w:t>
      </w:r>
      <w:r w:rsidR="00F53DE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10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2022 р.                                                                                 №</w:t>
      </w:r>
      <w:r w:rsidR="00E908C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F53DEE" w:rsidRPr="00F53D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34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0D05" w:rsidRDefault="00E908CD" w:rsidP="008B6A39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8B6A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передачу нежитлових приміщень</w:t>
      </w:r>
    </w:p>
    <w:p w:rsidR="008B6A39" w:rsidRDefault="008B6A39" w:rsidP="008B6A39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балансу КП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 на баланс</w:t>
      </w:r>
    </w:p>
    <w:p w:rsidR="008B6A39" w:rsidRPr="002F0D05" w:rsidRDefault="00CC09FC" w:rsidP="008B6A39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E908CD" w:rsidRPr="002F0D05" w:rsidRDefault="00E908CD" w:rsidP="00E908CD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="008B6A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впорядкування обліку та ефективного використання майна комунальної форми власності </w:t>
      </w:r>
      <w:proofErr w:type="spellStart"/>
      <w:r w:rsidR="008B6A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8B6A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територіальної громади</w:t>
      </w:r>
      <w:r w:rsidR="00117C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8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звернення начальника КП «</w:t>
      </w:r>
      <w:proofErr w:type="spellStart"/>
      <w:r w:rsidR="0098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 w:rsidR="0098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proofErr w:type="spellStart"/>
      <w:r w:rsidR="0098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Мостіпаки</w:t>
      </w:r>
      <w:proofErr w:type="spellEnd"/>
      <w:r w:rsidR="0098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Сергія Васильовича щодо передачі нежитлов</w:t>
      </w:r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98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8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приміщен</w:t>
      </w:r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proofErr w:type="spellEnd"/>
      <w:r w:rsidR="0098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баланс </w:t>
      </w:r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Бучазеленбуд</w:t>
      </w:r>
      <w:proofErr w:type="spellEnd"/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98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</w:t>
      </w: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</w:t>
      </w: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місцеве самоврядування в Україні», міська рада,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ВИРІШИЛА: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E550C" w:rsidRPr="00292515" w:rsidRDefault="00914A52" w:rsidP="00292515">
      <w:pPr>
        <w:pStyle w:val="a3"/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2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 w:rsidRPr="00292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 w:rsidRPr="00292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передати на баланс </w:t>
      </w:r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Бучазеленбуд</w:t>
      </w:r>
      <w:proofErr w:type="spellEnd"/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</w:t>
      </w:r>
      <w:r w:rsidR="005A31B2"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92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нежитлов</w:t>
      </w:r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 </w:t>
      </w:r>
      <w:r w:rsidRPr="00292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приміщення комунальної форми власності, згідно додатку 1</w:t>
      </w:r>
      <w:r w:rsidR="00E908CD" w:rsidRPr="00292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92515" w:rsidRDefault="00292515" w:rsidP="00292515">
      <w:pPr>
        <w:pStyle w:val="a3"/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Створити комісію по передачі нежитлових приміщень з балансу 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на баланс </w:t>
      </w:r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Бучазеленбуд</w:t>
      </w:r>
      <w:proofErr w:type="spellEnd"/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</w:t>
      </w:r>
      <w:r w:rsidR="005A31B2"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складі, згідно додатку 2.</w:t>
      </w:r>
    </w:p>
    <w:p w:rsidR="006A4243" w:rsidRPr="00292515" w:rsidRDefault="006A4243" w:rsidP="00292515">
      <w:pPr>
        <w:pStyle w:val="a3"/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Комісії, утвореній відповідно до пункту 2 цього рішення оформити відповідний акт приймання-передачі нежитлових приміщень, зазначеного в пункті 1 цього рішення.</w:t>
      </w:r>
    </w:p>
    <w:p w:rsidR="00E908CD" w:rsidRDefault="00DE550C" w:rsidP="00E908CD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A42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908CD"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 w:rsid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 w:rsid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здійснити передачу нежитлов</w:t>
      </w:r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приміщен</w:t>
      </w:r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proofErr w:type="spellEnd"/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згідно чинного законодавства та провести зміни в облікових документах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C387D" w:rsidRDefault="006A4243" w:rsidP="00E908CD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5</w:t>
      </w:r>
      <w:r w:rsidR="000C38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Бучазеленбуд</w:t>
      </w:r>
      <w:proofErr w:type="spellEnd"/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прийняти на баланс нежитлові приміщення</w:t>
      </w:r>
      <w:r w:rsidR="008876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зазначені в</w:t>
      </w:r>
      <w:r w:rsidR="00C66B83" w:rsidRP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C38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 1 даного рішення</w:t>
      </w:r>
      <w:r w:rsidR="008876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порядку встановленому чинним законодавством</w:t>
      </w:r>
      <w:r w:rsidR="000C38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908CD" w:rsidRPr="0054057A" w:rsidRDefault="006A4243" w:rsidP="0045034C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6</w:t>
      </w:r>
      <w:r w:rsidR="000C38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908CD"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 на  комісію з питань планування, бюджету, фінансів та податкової політики.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Анатолій  ФЕДОРУК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2515" w:rsidRPr="0054057A" w:rsidRDefault="00292515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Заступник міського голови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Сергій ШЕПЕТЬКО</w:t>
            </w: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Начальник управління юридично-кадрової роботи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Людмила РИЖЕНКО </w:t>
            </w: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Начальник відділу </w:t>
            </w: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бухгалтерського обліку та фінансового забезпечення – головний бухгалтер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Світлана ЯКУБЕНКО</w:t>
            </w: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Начальник КП «</w:t>
            </w:r>
            <w:proofErr w:type="spellStart"/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Бучасервіс</w:t>
            </w:r>
            <w:proofErr w:type="spellEnd"/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» 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Сергій МОСТІПАКА</w:t>
            </w:r>
          </w:p>
        </w:tc>
      </w:tr>
    </w:tbl>
    <w:p w:rsidR="00E908CD" w:rsidRPr="0054057A" w:rsidRDefault="00E908CD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24259F" w:rsidRDefault="0024259F" w:rsidP="00E908CD"/>
    <w:p w:rsidR="00C46988" w:rsidRDefault="00C46988" w:rsidP="00E908CD"/>
    <w:p w:rsidR="00C46988" w:rsidRDefault="00C46988" w:rsidP="00E908CD"/>
    <w:p w:rsidR="0024259F" w:rsidRDefault="0024259F" w:rsidP="00E908CD"/>
    <w:p w:rsidR="00792678" w:rsidRDefault="00792678" w:rsidP="00E908CD"/>
    <w:p w:rsidR="003F0AFB" w:rsidRDefault="003F0AFB" w:rsidP="00E908CD"/>
    <w:p w:rsidR="00792678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Додаток 1</w:t>
      </w:r>
    </w:p>
    <w:p w:rsidR="004210DC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до 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4210DC" w:rsidRPr="004210DC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785B67">
        <w:rPr>
          <w:rFonts w:ascii="Times New Roman" w:hAnsi="Times New Roman" w:cs="Times New Roman"/>
          <w:sz w:val="24"/>
          <w:szCs w:val="24"/>
          <w:lang w:val="uk-UA"/>
        </w:rPr>
        <w:t xml:space="preserve">             №_______ від _________</w:t>
      </w:r>
      <w:r>
        <w:rPr>
          <w:rFonts w:ascii="Times New Roman" w:hAnsi="Times New Roman" w:cs="Times New Roman"/>
          <w:sz w:val="24"/>
          <w:szCs w:val="24"/>
          <w:lang w:val="uk-UA"/>
        </w:rPr>
        <w:t>.2022р.</w:t>
      </w:r>
    </w:p>
    <w:p w:rsidR="00792678" w:rsidRPr="00E112D4" w:rsidRDefault="00792678" w:rsidP="00E11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2678" w:rsidRPr="00E112D4" w:rsidRDefault="004210DC" w:rsidP="00E112D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12D4">
        <w:rPr>
          <w:rFonts w:ascii="Times New Roman" w:hAnsi="Times New Roman" w:cs="Times New Roman"/>
          <w:b/>
          <w:sz w:val="24"/>
          <w:szCs w:val="24"/>
          <w:lang w:val="uk-UA"/>
        </w:rPr>
        <w:t>Перелік нежитлових приміщень</w:t>
      </w:r>
    </w:p>
    <w:p w:rsidR="004210DC" w:rsidRPr="00E112D4" w:rsidRDefault="004210DC" w:rsidP="00E112D4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8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536"/>
      </w:tblGrid>
      <w:tr w:rsidR="00E112D4" w:rsidRPr="00E112D4" w:rsidTr="00E112D4">
        <w:trPr>
          <w:trHeight w:val="315"/>
        </w:trPr>
        <w:tc>
          <w:tcPr>
            <w:tcW w:w="3827" w:type="dxa"/>
            <w:vMerge w:val="restart"/>
            <w:shd w:val="clear" w:color="auto" w:fill="auto"/>
            <w:vAlign w:val="center"/>
            <w:hideMark/>
          </w:tcPr>
          <w:p w:rsidR="00E112D4" w:rsidRPr="00E112D4" w:rsidRDefault="00E112D4" w:rsidP="00E1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1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</w:t>
            </w:r>
            <w:proofErr w:type="spellStart"/>
            <w:r w:rsidRPr="00E11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E11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E11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підвал</w:t>
            </w:r>
            <w:proofErr w:type="spellEnd"/>
            <w:r w:rsidRPr="00E11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/поверх) 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  <w:hideMark/>
          </w:tcPr>
          <w:p w:rsidR="00E112D4" w:rsidRPr="00E112D4" w:rsidRDefault="00E112D4" w:rsidP="00E1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Місцезнаходження</w:t>
            </w:r>
          </w:p>
        </w:tc>
      </w:tr>
      <w:tr w:rsidR="00E112D4" w:rsidRPr="00E112D4" w:rsidTr="00E112D4">
        <w:trPr>
          <w:trHeight w:val="1291"/>
        </w:trPr>
        <w:tc>
          <w:tcPr>
            <w:tcW w:w="3827" w:type="dxa"/>
            <w:vMerge/>
            <w:vAlign w:val="center"/>
            <w:hideMark/>
          </w:tcPr>
          <w:p w:rsidR="00E112D4" w:rsidRPr="00E112D4" w:rsidRDefault="00E112D4" w:rsidP="00E112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:rsidR="00E112D4" w:rsidRPr="00E112D4" w:rsidRDefault="00E112D4" w:rsidP="00E112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112D4" w:rsidRPr="00E112D4" w:rsidTr="00E112D4">
        <w:trPr>
          <w:trHeight w:val="431"/>
        </w:trPr>
        <w:tc>
          <w:tcPr>
            <w:tcW w:w="3827" w:type="dxa"/>
            <w:shd w:val="clear" w:color="000000" w:fill="FFFFFF"/>
            <w:vAlign w:val="center"/>
            <w:hideMark/>
          </w:tcPr>
          <w:p w:rsidR="00E112D4" w:rsidRPr="00E112D4" w:rsidRDefault="000C5BEB" w:rsidP="00E11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адмінистративне</w:t>
            </w:r>
            <w:proofErr w:type="spellEnd"/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E112D4" w:rsidRPr="00F53DEE" w:rsidRDefault="00E112D4" w:rsidP="00F5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Ворзель, </w:t>
            </w:r>
            <w:proofErr w:type="spellStart"/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Курортна</w:t>
            </w:r>
            <w:proofErr w:type="spellEnd"/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53D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</w:t>
            </w:r>
            <w:bookmarkStart w:id="0" w:name="_GoBack"/>
            <w:bookmarkEnd w:id="0"/>
          </w:p>
        </w:tc>
      </w:tr>
    </w:tbl>
    <w:p w:rsidR="004210DC" w:rsidRPr="00E112D4" w:rsidRDefault="004210DC" w:rsidP="00E112D4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92678" w:rsidRDefault="00792678" w:rsidP="00E908CD"/>
    <w:p w:rsidR="00003F3F" w:rsidRPr="00003F3F" w:rsidRDefault="00003F3F" w:rsidP="00E908C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03F3F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                                                                                  Тарас ШАПРАВСЬКИЙ</w:t>
      </w:r>
    </w:p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85B67" w:rsidRDefault="00785B67" w:rsidP="00E908CD"/>
    <w:p w:rsidR="00785B67" w:rsidRDefault="00785B67" w:rsidP="00E908CD"/>
    <w:p w:rsidR="000C5BEB" w:rsidRDefault="000C5BEB" w:rsidP="00E908CD"/>
    <w:p w:rsidR="00C46988" w:rsidRDefault="00C46988" w:rsidP="00E908CD"/>
    <w:p w:rsidR="00785B67" w:rsidRDefault="00785B67" w:rsidP="00E908CD"/>
    <w:p w:rsidR="00DA00B1" w:rsidRDefault="00DA00B1" w:rsidP="00E908CD"/>
    <w:p w:rsidR="005A31B2" w:rsidRDefault="005A31B2" w:rsidP="00E908CD"/>
    <w:p w:rsidR="005A31B2" w:rsidRDefault="005A31B2" w:rsidP="00E908CD"/>
    <w:p w:rsidR="005A31B2" w:rsidRDefault="005A31B2" w:rsidP="00E908CD"/>
    <w:p w:rsidR="005A31B2" w:rsidRDefault="005A31B2" w:rsidP="00E908CD"/>
    <w:p w:rsidR="005A31B2" w:rsidRDefault="005A31B2" w:rsidP="00E908CD"/>
    <w:p w:rsidR="006A4243" w:rsidRDefault="006A4243" w:rsidP="006A4243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Додаток 2</w:t>
      </w:r>
    </w:p>
    <w:p w:rsidR="006A4243" w:rsidRDefault="006A4243" w:rsidP="006A4243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до 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6A4243" w:rsidRPr="004210DC" w:rsidRDefault="006A4243" w:rsidP="006A4243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785B67">
        <w:rPr>
          <w:rFonts w:ascii="Times New Roman" w:hAnsi="Times New Roman" w:cs="Times New Roman"/>
          <w:sz w:val="24"/>
          <w:szCs w:val="24"/>
          <w:lang w:val="uk-UA"/>
        </w:rPr>
        <w:t xml:space="preserve">             №_______ від __________</w:t>
      </w:r>
      <w:r>
        <w:rPr>
          <w:rFonts w:ascii="Times New Roman" w:hAnsi="Times New Roman" w:cs="Times New Roman"/>
          <w:sz w:val="24"/>
          <w:szCs w:val="24"/>
          <w:lang w:val="uk-UA"/>
        </w:rPr>
        <w:t>.2022р.</w:t>
      </w:r>
    </w:p>
    <w:p w:rsidR="00792678" w:rsidRDefault="00792678" w:rsidP="00E908CD"/>
    <w:p w:rsidR="00792678" w:rsidRDefault="00792678" w:rsidP="00E908CD"/>
    <w:p w:rsidR="00792678" w:rsidRPr="002D2C07" w:rsidRDefault="00050050" w:rsidP="0005005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2C07">
        <w:rPr>
          <w:rFonts w:ascii="Times New Roman" w:hAnsi="Times New Roman" w:cs="Times New Roman"/>
          <w:b/>
          <w:sz w:val="24"/>
          <w:szCs w:val="24"/>
          <w:lang w:val="uk-UA"/>
        </w:rPr>
        <w:t>Комісія по передачі нежитлових приміщень з балансу КП «</w:t>
      </w:r>
      <w:proofErr w:type="spellStart"/>
      <w:r w:rsidRPr="002D2C07">
        <w:rPr>
          <w:rFonts w:ascii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Pr="002D2C07"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на баланс </w:t>
      </w:r>
      <w:proofErr w:type="spellStart"/>
      <w:r w:rsidRPr="002D2C07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2D2C0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050050" w:rsidRDefault="00050050" w:rsidP="00050050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50050" w:rsidRDefault="005721F6" w:rsidP="0005005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Голова комісії: Заступник міського голови – Сергій ШЕПЕТЬКО</w:t>
      </w:r>
    </w:p>
    <w:p w:rsidR="005721F6" w:rsidRDefault="005721F6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Члени комісії: </w:t>
      </w:r>
    </w:p>
    <w:p w:rsidR="005721F6" w:rsidRPr="005721F6" w:rsidRDefault="005721F6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1F6">
        <w:rPr>
          <w:rFonts w:ascii="Times New Roman" w:hAnsi="Times New Roman" w:cs="Times New Roman"/>
          <w:sz w:val="24"/>
          <w:szCs w:val="24"/>
          <w:lang w:val="uk-UA"/>
        </w:rPr>
        <w:t>Начальник упра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вління юридично-кадрової роботи - </w:t>
      </w:r>
      <w:r w:rsidRPr="005721F6">
        <w:rPr>
          <w:rFonts w:ascii="Times New Roman" w:hAnsi="Times New Roman" w:cs="Times New Roman"/>
          <w:sz w:val="24"/>
          <w:szCs w:val="24"/>
          <w:lang w:val="uk-UA"/>
        </w:rPr>
        <w:t>Людмила РИЖЕНКО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5721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21F6" w:rsidRDefault="005721F6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1F6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 w:rsidR="005A31B2">
        <w:rPr>
          <w:rFonts w:ascii="Times New Roman" w:hAnsi="Times New Roman" w:cs="Times New Roman"/>
          <w:sz w:val="24"/>
          <w:szCs w:val="24"/>
          <w:lang w:val="uk-UA"/>
        </w:rPr>
        <w:t>КП «</w:t>
      </w:r>
      <w:proofErr w:type="spellStart"/>
      <w:r w:rsidR="005A31B2">
        <w:rPr>
          <w:rFonts w:ascii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="005A31B2">
        <w:rPr>
          <w:rFonts w:ascii="Times New Roman" w:hAnsi="Times New Roman" w:cs="Times New Roman"/>
          <w:sz w:val="24"/>
          <w:szCs w:val="24"/>
          <w:lang w:val="uk-UA"/>
        </w:rPr>
        <w:t>» - Віктор ГАЛУЩАК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721F6" w:rsidRDefault="005A31B2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Головний бухгалтер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782A95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>Ольга БОРОВ</w:t>
      </w:r>
      <w:r w:rsidR="00F847A6">
        <w:rPr>
          <w:rFonts w:ascii="Times New Roman" w:hAnsi="Times New Roman" w:cs="Times New Roman"/>
          <w:sz w:val="24"/>
          <w:szCs w:val="24"/>
          <w:lang w:val="uk-UA"/>
        </w:rPr>
        <w:t>ИК</w:t>
      </w:r>
      <w:r w:rsidR="00782A9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82A95" w:rsidRDefault="00782A95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КП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- Сергій МОСТІПАКА;</w:t>
      </w:r>
    </w:p>
    <w:p w:rsidR="00782A95" w:rsidRDefault="00782A95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Головний бухгалтер – начальник фінансово-економічного відділу КП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- Анна ЄРЕНКОВА;</w:t>
      </w:r>
    </w:p>
    <w:p w:rsidR="00782A95" w:rsidRDefault="00782A95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Головний економіст фінансово-економічного відділу К</w:t>
      </w:r>
      <w:r w:rsidR="00503817">
        <w:rPr>
          <w:rFonts w:ascii="Times New Roman" w:hAnsi="Times New Roman" w:cs="Times New Roman"/>
          <w:sz w:val="24"/>
          <w:szCs w:val="24"/>
          <w:lang w:val="uk-UA"/>
        </w:rPr>
        <w:t>П «</w:t>
      </w:r>
      <w:proofErr w:type="spellStart"/>
      <w:r w:rsidR="00503817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="00503817">
        <w:rPr>
          <w:rFonts w:ascii="Times New Roman" w:hAnsi="Times New Roman" w:cs="Times New Roman"/>
          <w:sz w:val="24"/>
          <w:szCs w:val="24"/>
          <w:lang w:val="uk-UA"/>
        </w:rPr>
        <w:t>» - Тетяна ЛАЗАРЄВ</w:t>
      </w:r>
      <w:r>
        <w:rPr>
          <w:rFonts w:ascii="Times New Roman" w:hAnsi="Times New Roman" w:cs="Times New Roman"/>
          <w:sz w:val="24"/>
          <w:szCs w:val="24"/>
          <w:lang w:val="uk-UA"/>
        </w:rPr>
        <w:t>А.</w:t>
      </w:r>
    </w:p>
    <w:p w:rsidR="00782A95" w:rsidRDefault="00782A95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2A95" w:rsidRDefault="00782A95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2A95" w:rsidRDefault="00782A95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2A95" w:rsidRPr="00782A95" w:rsidRDefault="00782A95" w:rsidP="005721F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2A95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                                                                                          Тарас ШАПРАВСЬКИЙ</w:t>
      </w:r>
    </w:p>
    <w:p w:rsidR="00792678" w:rsidRPr="00782A95" w:rsidRDefault="00792678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24259F" w:rsidRPr="00782A95" w:rsidRDefault="0024259F" w:rsidP="00E908CD">
      <w:pPr>
        <w:rPr>
          <w:lang w:val="uk-U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24259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CF44F8" wp14:editId="2695B4F0">
                <wp:simplePos x="0" y="0"/>
                <wp:positionH relativeFrom="column">
                  <wp:posOffset>-201930</wp:posOffset>
                </wp:positionH>
                <wp:positionV relativeFrom="paragraph">
                  <wp:posOffset>112395</wp:posOffset>
                </wp:positionV>
                <wp:extent cx="6370320" cy="21590"/>
                <wp:effectExtent l="19050" t="19050" r="3048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70320" cy="2159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ysClr val="window" lastClr="FFFFFF">
                              <a:lumMod val="5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490B6F" id="Прямая соединительная линия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8.85pt" to="485.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" strokecolor="#7f7f7f" strokeweight="3pt">
                <v:stroke linestyle="thinThick"/>
              </v:line>
            </w:pict>
          </mc:Fallback>
        </mc:AlternateContent>
      </w: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394"/>
      </w:tblGrid>
      <w:tr w:rsidR="003824C9" w:rsidRPr="0024259F" w:rsidTr="00261C34">
        <w:trPr>
          <w:trHeight w:val="325"/>
        </w:trPr>
        <w:tc>
          <w:tcPr>
            <w:tcW w:w="5387" w:type="dxa"/>
          </w:tcPr>
          <w:p w:rsidR="003824C9" w:rsidRPr="0024259F" w:rsidRDefault="003824C9" w:rsidP="00261C34">
            <w:pPr>
              <w:suppressAutoHyphens/>
              <w:rPr>
                <w:rFonts w:ascii="Times New Roman" w:eastAsia="Calibri" w:hAnsi="Times New Roman"/>
                <w:sz w:val="28"/>
                <w:szCs w:val="28"/>
                <w:lang w:val="uk-UA" w:eastAsia="ar-SA"/>
              </w:rPr>
            </w:pPr>
            <w:r w:rsidRPr="0024259F"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  <w:t>№_____</w:t>
            </w:r>
            <w:r w:rsidRPr="0024259F">
              <w:rPr>
                <w:rFonts w:ascii="Times New Roman" w:eastAsia="Calibri" w:hAnsi="Times New Roman"/>
                <w:sz w:val="28"/>
                <w:szCs w:val="28"/>
                <w:lang w:val="uk-UA" w:eastAsia="ar-SA"/>
              </w:rPr>
              <w:t>від</w:t>
            </w:r>
            <w:r w:rsidRPr="0024259F"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  <w:t>_____________</w:t>
            </w:r>
          </w:p>
          <w:p w:rsidR="003824C9" w:rsidRPr="0024259F" w:rsidRDefault="003824C9" w:rsidP="00261C34">
            <w:pPr>
              <w:suppressAutoHyphens/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4394" w:type="dxa"/>
            <w:hideMark/>
          </w:tcPr>
          <w:p w:rsidR="003824C9" w:rsidRPr="0024259F" w:rsidRDefault="003824C9" w:rsidP="00261C34">
            <w:pPr>
              <w:suppressAutoHyphens/>
              <w:ind w:left="39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</w:pPr>
            <w:proofErr w:type="spellStart"/>
            <w:r w:rsidRPr="0024259F"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  <w:t>Бучанському</w:t>
            </w:r>
            <w:proofErr w:type="spellEnd"/>
            <w:r w:rsidRPr="0024259F"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  <w:t xml:space="preserve">  міському голові</w:t>
            </w:r>
          </w:p>
          <w:p w:rsidR="003824C9" w:rsidRPr="0024259F" w:rsidRDefault="003824C9" w:rsidP="00261C34">
            <w:pPr>
              <w:suppressAutoHyphens/>
              <w:ind w:left="39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</w:pPr>
            <w:r w:rsidRPr="0024259F"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  <w:t xml:space="preserve">Анатолію ФЕДОРУКУ </w:t>
            </w:r>
          </w:p>
        </w:tc>
      </w:tr>
    </w:tbl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4B22AB" wp14:editId="557DDEE6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1708785" cy="344805"/>
                <wp:effectExtent l="0" t="0" r="0" b="762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942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24C9" w:rsidRDefault="003824C9" w:rsidP="003824C9">
                            <w:pP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4B22AB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134.55pt;height:27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" filled="f" stroked="f">
                <v:path arrowok="t"/>
                <v:textbox style="mso-fit-shape-to-text:t">
                  <w:txbxContent>
                    <w:p w:rsidR="003824C9" w:rsidRDefault="003824C9" w:rsidP="003824C9">
                      <w:pP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</w:txbxContent>
                </v:textbox>
              </v:shape>
            </w:pict>
          </mc:Fallback>
        </mc:AlternateContent>
      </w:r>
    </w:p>
    <w:p w:rsidR="003824C9" w:rsidRPr="0024259F" w:rsidRDefault="003824C9" w:rsidP="003824C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ПРОПОЗИЦІЯ</w:t>
      </w:r>
    </w:p>
    <w:p w:rsidR="003824C9" w:rsidRPr="0024259F" w:rsidRDefault="003824C9" w:rsidP="003824C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щодо включення питання до проекту порядку денного на засідання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сесії</w:t>
      </w: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</w:t>
      </w:r>
      <w:proofErr w:type="spellStart"/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Бучанської</w:t>
      </w:r>
      <w:proofErr w:type="spellEnd"/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міської ради</w:t>
      </w:r>
    </w:p>
    <w:p w:rsidR="003824C9" w:rsidRPr="0024259F" w:rsidRDefault="003824C9" w:rsidP="003824C9">
      <w:pPr>
        <w:tabs>
          <w:tab w:val="left" w:pos="0"/>
          <w:tab w:val="left" w:pos="4678"/>
        </w:tabs>
        <w:suppressAutoHyphens/>
        <w:spacing w:after="0" w:line="276" w:lineRule="auto"/>
        <w:ind w:right="2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Питання: </w:t>
      </w:r>
    </w:p>
    <w:p w:rsidR="003824C9" w:rsidRPr="005A31B2" w:rsidRDefault="003824C9" w:rsidP="005A31B2">
      <w:pPr>
        <w:tabs>
          <w:tab w:val="left" w:pos="0"/>
        </w:tabs>
        <w:suppressAutoHyphens/>
        <w:spacing w:after="0" w:line="276" w:lineRule="auto"/>
        <w:ind w:right="27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5A31B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передачу нежитлов</w:t>
      </w:r>
      <w:r w:rsidR="005A31B2" w:rsidRPr="005A31B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ого</w:t>
      </w:r>
      <w:r w:rsidRPr="005A31B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5A31B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приміщен</w:t>
      </w:r>
      <w:r w:rsidR="005A31B2" w:rsidRPr="005A31B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я</w:t>
      </w:r>
      <w:proofErr w:type="spellEnd"/>
      <w:r w:rsidRPr="005A31B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з балансу КП «</w:t>
      </w:r>
      <w:proofErr w:type="spellStart"/>
      <w:r w:rsidRPr="005A31B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Бучасервіс</w:t>
      </w:r>
      <w:proofErr w:type="spellEnd"/>
      <w:r w:rsidRPr="005A31B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» на баланс</w:t>
      </w:r>
      <w:r w:rsidR="005A31B2" w:rsidRPr="005A31B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5A31B2"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 «</w:t>
      </w:r>
      <w:proofErr w:type="spellStart"/>
      <w:r w:rsidR="005A31B2"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Бучазеленбуд</w:t>
      </w:r>
      <w:proofErr w:type="spellEnd"/>
      <w:r w:rsidR="005A31B2"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</w:t>
      </w:r>
    </w:p>
    <w:p w:rsidR="003824C9" w:rsidRPr="0024259F" w:rsidRDefault="003824C9" w:rsidP="003824C9">
      <w:pPr>
        <w:tabs>
          <w:tab w:val="left" w:pos="0"/>
        </w:tabs>
        <w:suppressAutoHyphens/>
        <w:spacing w:after="0" w:line="276" w:lineRule="auto"/>
        <w:ind w:right="27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</w:p>
    <w:p w:rsidR="003824C9" w:rsidRPr="00C46988" w:rsidRDefault="003824C9" w:rsidP="003824C9">
      <w:pPr>
        <w:tabs>
          <w:tab w:val="left" w:pos="0"/>
        </w:tabs>
        <w:suppressAutoHyphens/>
        <w:spacing w:after="0" w:line="276" w:lineRule="auto"/>
        <w:ind w:right="2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Обґрунтування необхідності розгляду:</w:t>
      </w:r>
    </w:p>
    <w:p w:rsidR="005A31B2" w:rsidRPr="005A31B2" w:rsidRDefault="005A31B2" w:rsidP="005A31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рішень </w:t>
      </w:r>
      <w:proofErr w:type="spellStart"/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на баланс КП «</w:t>
      </w:r>
      <w:proofErr w:type="spellStart"/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Бучасервіс</w:t>
      </w:r>
      <w:proofErr w:type="spellEnd"/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було передано ряд нежитлових приміщень комунальної форми власності, що розташовані на території населених пунктів </w:t>
      </w:r>
      <w:proofErr w:type="spellStart"/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громади.</w:t>
      </w:r>
    </w:p>
    <w:p w:rsidR="005A31B2" w:rsidRPr="005A31B2" w:rsidRDefault="005A31B2" w:rsidP="005A31B2">
      <w:pPr>
        <w:tabs>
          <w:tab w:val="left" w:pos="3345"/>
        </w:tabs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З метою ефективного використання майна комунальної форми власності та враховуючи те, що нежитлове приміщення яке знаходиться за </w:t>
      </w:r>
      <w:proofErr w:type="spellStart"/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с. Ворзель, вул. Курортна, будинок 78, фактично використовує Комунальне підприємство «</w:t>
      </w:r>
      <w:proofErr w:type="spellStart"/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Бучазеленбуд</w:t>
      </w:r>
      <w:proofErr w:type="spellEnd"/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proofErr w:type="spellStart"/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просимо Вас винести на розгляд чергового засідання сесії </w:t>
      </w:r>
      <w:proofErr w:type="spellStart"/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питання про передачу нежитлового </w:t>
      </w:r>
      <w:proofErr w:type="spellStart"/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приміщеня</w:t>
      </w:r>
      <w:proofErr w:type="spellEnd"/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КП «</w:t>
      </w:r>
      <w:proofErr w:type="spellStart"/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Бучасервіс</w:t>
      </w:r>
      <w:proofErr w:type="spellEnd"/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на баланс КП «</w:t>
      </w:r>
      <w:proofErr w:type="spellStart"/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Бучазеленбуд</w:t>
      </w:r>
      <w:proofErr w:type="spellEnd"/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24C9" w:rsidRPr="0024259F" w:rsidRDefault="003824C9" w:rsidP="009E2020">
      <w:pPr>
        <w:tabs>
          <w:tab w:val="left" w:pos="0"/>
        </w:tabs>
        <w:suppressAutoHyphens/>
        <w:spacing w:after="0" w:line="276" w:lineRule="auto"/>
        <w:ind w:right="28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Додатки:</w:t>
      </w:r>
    </w:p>
    <w:p w:rsidR="003824C9" w:rsidRPr="003824C9" w:rsidRDefault="003824C9" w:rsidP="003824C9">
      <w:pPr>
        <w:numPr>
          <w:ilvl w:val="0"/>
          <w:numId w:val="1"/>
        </w:numPr>
        <w:tabs>
          <w:tab w:val="left" w:pos="0"/>
        </w:tabs>
        <w:suppressAutoHyphens/>
        <w:spacing w:after="0" w:line="276" w:lineRule="auto"/>
        <w:ind w:right="2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Проект рішення «</w:t>
      </w:r>
      <w:r w:rsidRPr="003824C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передачу нежитлов</w:t>
      </w:r>
      <w:r w:rsidR="005A31B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ого</w:t>
      </w:r>
      <w:r w:rsidRPr="003824C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3824C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приміщен</w:t>
      </w:r>
      <w:r w:rsidR="005A31B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Pr="003824C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з балансу КП «</w:t>
      </w:r>
      <w:proofErr w:type="spellStart"/>
      <w:r w:rsidRPr="003824C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Бучасервіс</w:t>
      </w:r>
      <w:proofErr w:type="spellEnd"/>
      <w:r w:rsidRPr="003824C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» на баланс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5A31B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КП «</w:t>
      </w:r>
      <w:proofErr w:type="spellStart"/>
      <w:r w:rsidR="005A31B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Бучазеленбуд</w:t>
      </w:r>
      <w:proofErr w:type="spellEnd"/>
      <w:r w:rsidRPr="003824C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». </w:t>
      </w:r>
    </w:p>
    <w:p w:rsidR="003824C9" w:rsidRPr="0024259F" w:rsidRDefault="003824C9" w:rsidP="003824C9">
      <w:pPr>
        <w:tabs>
          <w:tab w:val="left" w:pos="0"/>
        </w:tabs>
        <w:suppressAutoHyphens/>
        <w:spacing w:after="0" w:line="276" w:lineRule="auto"/>
        <w:ind w:left="1080" w:right="2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3824C9" w:rsidRPr="0024259F" w:rsidRDefault="003824C9" w:rsidP="003824C9">
      <w:pPr>
        <w:tabs>
          <w:tab w:val="left" w:pos="0"/>
        </w:tabs>
        <w:suppressAutoHyphens/>
        <w:spacing w:after="0" w:line="276" w:lineRule="auto"/>
        <w:ind w:right="27"/>
        <w:contextualSpacing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24259F" w:rsidRDefault="003824C9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</w:t>
      </w: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Начальник КП «</w:t>
      </w:r>
      <w:proofErr w:type="spellStart"/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Бучасервіс</w:t>
      </w:r>
      <w:proofErr w:type="spellEnd"/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»                                        Сергій МОСТІПАКА</w:t>
      </w:r>
    </w:p>
    <w:p w:rsid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C3621" w:rsidRPr="000C3621" w:rsidRDefault="000C3621" w:rsidP="000C362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3621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Акт</w:t>
      </w:r>
    </w:p>
    <w:p w:rsidR="000C3621" w:rsidRPr="000C3621" w:rsidRDefault="000C3621" w:rsidP="000C362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3621">
        <w:rPr>
          <w:rFonts w:ascii="Times New Roman" w:hAnsi="Times New Roman" w:cs="Times New Roman"/>
          <w:b/>
          <w:sz w:val="24"/>
          <w:szCs w:val="24"/>
          <w:lang w:val="uk-UA"/>
        </w:rPr>
        <w:t>приймання-передачі</w:t>
      </w:r>
    </w:p>
    <w:p w:rsidR="000C3621" w:rsidRPr="000C3621" w:rsidRDefault="000C3621" w:rsidP="000C362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3621">
        <w:rPr>
          <w:rFonts w:ascii="Times New Roman" w:hAnsi="Times New Roman" w:cs="Times New Roman"/>
          <w:b/>
          <w:sz w:val="24"/>
          <w:szCs w:val="24"/>
          <w:lang w:val="uk-UA"/>
        </w:rPr>
        <w:t>від «___» ___________ 2022 року</w:t>
      </w:r>
    </w:p>
    <w:p w:rsidR="000C3621" w:rsidRPr="000C3621" w:rsidRDefault="000C3621" w:rsidP="000C36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C3621" w:rsidRPr="000C3621" w:rsidRDefault="000C3621" w:rsidP="000C362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3621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рішення сесії </w:t>
      </w:r>
      <w:proofErr w:type="spellStart"/>
      <w:r w:rsidRPr="000C3621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0C362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Pr="000C3621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Pr="000C3621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Pr="000C3621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0C3621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0C362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C3621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___.____</w:t>
      </w:r>
      <w:r w:rsidRPr="000C3621">
        <w:rPr>
          <w:rFonts w:ascii="Times New Roman" w:hAnsi="Times New Roman" w:cs="Times New Roman"/>
          <w:sz w:val="24"/>
          <w:szCs w:val="24"/>
          <w:lang w:val="uk-UA"/>
        </w:rPr>
        <w:t>.2022 року «Про передачу нежитлов</w:t>
      </w:r>
      <w:r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0C36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C3621">
        <w:rPr>
          <w:rFonts w:ascii="Times New Roman" w:hAnsi="Times New Roman" w:cs="Times New Roman"/>
          <w:sz w:val="24"/>
          <w:szCs w:val="24"/>
          <w:lang w:val="uk-UA"/>
        </w:rPr>
        <w:t>приміщен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proofErr w:type="spellEnd"/>
      <w:r w:rsidRPr="000C3621">
        <w:rPr>
          <w:rFonts w:ascii="Times New Roman" w:hAnsi="Times New Roman" w:cs="Times New Roman"/>
          <w:sz w:val="24"/>
          <w:szCs w:val="24"/>
          <w:lang w:val="uk-UA"/>
        </w:rPr>
        <w:t xml:space="preserve"> з балансу КП «</w:t>
      </w:r>
      <w:proofErr w:type="spellStart"/>
      <w:r w:rsidRPr="000C3621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Pr="000C3621">
        <w:rPr>
          <w:rFonts w:ascii="Times New Roman" w:hAnsi="Times New Roman" w:cs="Times New Roman"/>
          <w:sz w:val="24"/>
          <w:szCs w:val="24"/>
          <w:lang w:val="uk-UA"/>
        </w:rPr>
        <w:t xml:space="preserve">» на баланс </w:t>
      </w:r>
      <w:r>
        <w:rPr>
          <w:rFonts w:ascii="Times New Roman" w:hAnsi="Times New Roman" w:cs="Times New Roman"/>
          <w:sz w:val="24"/>
          <w:szCs w:val="24"/>
          <w:lang w:val="uk-UA"/>
        </w:rPr>
        <w:t>КП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Pr="000C3621">
        <w:rPr>
          <w:rFonts w:ascii="Times New Roman" w:hAnsi="Times New Roman" w:cs="Times New Roman"/>
          <w:sz w:val="24"/>
          <w:szCs w:val="24"/>
          <w:lang w:val="uk-UA"/>
        </w:rPr>
        <w:t>», ми, що нижче підписалися провели приймання - передачу з балансу КП «</w:t>
      </w:r>
      <w:proofErr w:type="spellStart"/>
      <w:r w:rsidRPr="000C3621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Pr="000C3621">
        <w:rPr>
          <w:rFonts w:ascii="Times New Roman" w:hAnsi="Times New Roman" w:cs="Times New Roman"/>
          <w:sz w:val="24"/>
          <w:szCs w:val="24"/>
          <w:lang w:val="uk-UA"/>
        </w:rPr>
        <w:t xml:space="preserve">» на баланс </w:t>
      </w:r>
      <w:r>
        <w:rPr>
          <w:rFonts w:ascii="Times New Roman" w:hAnsi="Times New Roman" w:cs="Times New Roman"/>
          <w:sz w:val="24"/>
          <w:szCs w:val="24"/>
          <w:lang w:val="uk-UA"/>
        </w:rPr>
        <w:t>КП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Pr="000C3621">
        <w:rPr>
          <w:rFonts w:ascii="Times New Roman" w:hAnsi="Times New Roman" w:cs="Times New Roman"/>
          <w:sz w:val="24"/>
          <w:szCs w:val="24"/>
          <w:lang w:val="uk-UA"/>
        </w:rPr>
        <w:t>», нежитло</w:t>
      </w:r>
      <w:r>
        <w:rPr>
          <w:rFonts w:ascii="Times New Roman" w:hAnsi="Times New Roman" w:cs="Times New Roman"/>
          <w:sz w:val="24"/>
          <w:szCs w:val="24"/>
          <w:lang w:val="uk-UA"/>
        </w:rPr>
        <w:t>ве</w:t>
      </w:r>
      <w:r w:rsidRPr="000C3621">
        <w:rPr>
          <w:rFonts w:ascii="Times New Roman" w:hAnsi="Times New Roman" w:cs="Times New Roman"/>
          <w:sz w:val="24"/>
          <w:szCs w:val="24"/>
          <w:lang w:val="uk-UA"/>
        </w:rPr>
        <w:t xml:space="preserve"> приміщення комунальної власності </w:t>
      </w:r>
      <w:proofErr w:type="spellStart"/>
      <w:r w:rsidRPr="000C3621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0C3621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и, яке знаходиться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tbl>
      <w:tblPr>
        <w:tblW w:w="8468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534"/>
        <w:gridCol w:w="2216"/>
        <w:gridCol w:w="2576"/>
        <w:gridCol w:w="1735"/>
        <w:gridCol w:w="1407"/>
      </w:tblGrid>
      <w:tr w:rsidR="000C3621" w:rsidRPr="000C3621" w:rsidTr="006A057B">
        <w:trPr>
          <w:trHeight w:val="7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621" w:rsidRPr="000C3621" w:rsidRDefault="000C3621" w:rsidP="006A057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621" w:rsidRPr="000C3621" w:rsidRDefault="000C3621" w:rsidP="006A057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Адреса </w:t>
            </w:r>
            <w:proofErr w:type="spellStart"/>
            <w:r w:rsidRPr="000C36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приміщення</w:t>
            </w:r>
            <w:proofErr w:type="spellEnd"/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621" w:rsidRPr="000C3621" w:rsidRDefault="000C3621" w:rsidP="006A057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C36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Функціональне</w:t>
            </w:r>
            <w:proofErr w:type="spellEnd"/>
            <w:r w:rsidRPr="000C36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C36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призначення</w:t>
            </w:r>
            <w:proofErr w:type="spellEnd"/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621" w:rsidRPr="000C3621" w:rsidRDefault="000C3621" w:rsidP="006A057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C36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Первісна</w:t>
            </w:r>
            <w:proofErr w:type="spellEnd"/>
            <w:r w:rsidRPr="000C36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0C36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балансова</w:t>
            </w:r>
            <w:proofErr w:type="spellEnd"/>
            <w:r w:rsidRPr="000C36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proofErr w:type="spellStart"/>
            <w:r w:rsidRPr="000C36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вартість</w:t>
            </w:r>
            <w:proofErr w:type="spellEnd"/>
            <w:r w:rsidRPr="000C36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грн.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621" w:rsidRPr="000C3621" w:rsidRDefault="000C3621" w:rsidP="006A057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C36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Знос</w:t>
            </w:r>
            <w:proofErr w:type="spellEnd"/>
            <w:r w:rsidRPr="000C36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грн.</w:t>
            </w:r>
          </w:p>
        </w:tc>
      </w:tr>
      <w:tr w:rsidR="000C3621" w:rsidRPr="000C3621" w:rsidTr="006A057B">
        <w:trPr>
          <w:trHeight w:val="258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621" w:rsidRPr="000C3621" w:rsidRDefault="000C3621" w:rsidP="006A05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3621" w:rsidRPr="000C3621" w:rsidRDefault="000C3621" w:rsidP="000C36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3621">
              <w:rPr>
                <w:rFonts w:ascii="Times New Roman" w:hAnsi="Times New Roman" w:cs="Times New Roman"/>
                <w:sz w:val="24"/>
                <w:szCs w:val="24"/>
              </w:rPr>
              <w:t xml:space="preserve">с. Ворзель, </w:t>
            </w:r>
            <w:proofErr w:type="spellStart"/>
            <w:r w:rsidRPr="000C3621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0C36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C3621">
              <w:rPr>
                <w:rFonts w:ascii="Times New Roman" w:hAnsi="Times New Roman" w:cs="Times New Roman"/>
                <w:sz w:val="24"/>
                <w:szCs w:val="24"/>
              </w:rPr>
              <w:t>Курортна</w:t>
            </w:r>
            <w:proofErr w:type="spellEnd"/>
            <w:r w:rsidRPr="000C3621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3621">
              <w:rPr>
                <w:rFonts w:ascii="Times New Roman" w:hAnsi="Times New Roman" w:cs="Times New Roman"/>
                <w:sz w:val="24"/>
                <w:szCs w:val="24"/>
              </w:rPr>
              <w:t>нежитлолве</w:t>
            </w:r>
            <w:proofErr w:type="spellEnd"/>
            <w:r w:rsidRPr="000C3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3621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621" w:rsidRPr="000C3621" w:rsidRDefault="000C3621" w:rsidP="006A0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621" w:rsidRPr="000C3621" w:rsidRDefault="000C3621" w:rsidP="006A0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3621" w:rsidRPr="000C3621" w:rsidRDefault="000C3621" w:rsidP="000C36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621" w:rsidRPr="000C3621" w:rsidRDefault="000C3621" w:rsidP="000C362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15" w:type="dxa"/>
        <w:tblInd w:w="108" w:type="dxa"/>
        <w:tblLook w:val="04A0" w:firstRow="1" w:lastRow="0" w:firstColumn="1" w:lastColumn="0" w:noHBand="0" w:noVBand="1"/>
      </w:tblPr>
      <w:tblGrid>
        <w:gridCol w:w="1843"/>
        <w:gridCol w:w="2693"/>
        <w:gridCol w:w="5279"/>
      </w:tblGrid>
      <w:tr w:rsidR="000C3621" w:rsidRPr="000C3621" w:rsidTr="00923884">
        <w:trPr>
          <w:trHeight w:val="2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C3621" w:rsidRPr="000C3621" w:rsidRDefault="000C3621" w:rsidP="006A057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Голова </w:t>
            </w:r>
            <w:proofErr w:type="spellStart"/>
            <w:r w:rsidRPr="000C36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Заступник </w:t>
            </w:r>
            <w:proofErr w:type="spellStart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міського</w:t>
            </w:r>
            <w:proofErr w:type="spellEnd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голови</w:t>
            </w:r>
            <w:proofErr w:type="spellEnd"/>
          </w:p>
        </w:tc>
      </w:tr>
      <w:tr w:rsidR="000C3621" w:rsidRPr="000C3621" w:rsidTr="00923884">
        <w:trPr>
          <w:trHeight w:val="2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Сергій</w:t>
            </w:r>
            <w:proofErr w:type="spellEnd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ШЕПЕТЬКО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3621" w:rsidRPr="000C3621" w:rsidTr="00923884">
        <w:trPr>
          <w:trHeight w:val="2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621" w:rsidRPr="000C3621" w:rsidTr="00923884">
        <w:trPr>
          <w:trHeight w:val="5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ind w:right="-35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Члени </w:t>
            </w:r>
            <w:proofErr w:type="spellStart"/>
            <w:r w:rsidRPr="000C36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proofErr w:type="spellEnd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юридично-кадрової</w:t>
            </w:r>
            <w:proofErr w:type="spellEnd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роботи</w:t>
            </w:r>
            <w:proofErr w:type="spellEnd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БМР</w:t>
            </w:r>
          </w:p>
        </w:tc>
      </w:tr>
      <w:tr w:rsidR="000C3621" w:rsidRPr="000C3621" w:rsidTr="00923884">
        <w:trPr>
          <w:trHeight w:val="2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 РИЖЕНКО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3621" w:rsidRPr="000C3621" w:rsidTr="00923884">
        <w:trPr>
          <w:trHeight w:val="5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2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Бучазеленбуд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0C3621" w:rsidRPr="000C3621" w:rsidTr="00923884">
        <w:trPr>
          <w:trHeight w:val="2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Віктор ГАЛУЩАК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3621" w:rsidRPr="000C3621" w:rsidTr="00923884">
        <w:trPr>
          <w:trHeight w:val="5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Головний бухгалтер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Бучазеленбуд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</w:tr>
      <w:tr w:rsidR="000C3621" w:rsidRPr="000C3621" w:rsidTr="00923884">
        <w:trPr>
          <w:trHeight w:val="2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Ольга БОРОВКО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3621" w:rsidRPr="000C3621" w:rsidTr="00923884">
        <w:trPr>
          <w:trHeight w:val="5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0C362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Начальник КП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Бучасервіс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0C3621" w:rsidRPr="000C3621" w:rsidTr="00923884">
        <w:trPr>
          <w:trHeight w:val="2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Сергій</w:t>
            </w:r>
            <w:proofErr w:type="spellEnd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МОСТІПАКА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3621" w:rsidRPr="000C3621" w:rsidTr="00923884">
        <w:trPr>
          <w:trHeight w:val="5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0C362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Головний</w:t>
            </w:r>
            <w:proofErr w:type="spellEnd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бухгалтер КП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Бучасервіс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0C3621" w:rsidRPr="000C3621" w:rsidTr="00923884">
        <w:trPr>
          <w:trHeight w:val="2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 ЄРЕНКОВА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3621" w:rsidRPr="000C3621" w:rsidTr="00923884">
        <w:trPr>
          <w:trHeight w:val="5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0C362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Головний</w:t>
            </w:r>
            <w:proofErr w:type="spellEnd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економіст</w:t>
            </w:r>
            <w:proofErr w:type="spellEnd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КП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Бучасервіс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0C3621" w:rsidRPr="000C3621" w:rsidTr="00923884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Тетяна</w:t>
            </w:r>
            <w:proofErr w:type="spellEnd"/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ЛАЗАРЄВА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C3621" w:rsidRPr="000C3621" w:rsidRDefault="000C3621" w:rsidP="000C362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3621" w:rsidRP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</w:p>
    <w:sectPr w:rsidR="000C3621" w:rsidRPr="000C3621" w:rsidSect="009E2020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64D2C"/>
    <w:multiLevelType w:val="hybridMultilevel"/>
    <w:tmpl w:val="0DE0C38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34F26D9B"/>
    <w:multiLevelType w:val="hybridMultilevel"/>
    <w:tmpl w:val="1542D426"/>
    <w:lvl w:ilvl="0" w:tplc="1DA21A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8D00C2"/>
    <w:multiLevelType w:val="hybridMultilevel"/>
    <w:tmpl w:val="76B22570"/>
    <w:lvl w:ilvl="0" w:tplc="B72A50F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CD"/>
    <w:rsid w:val="00003F3F"/>
    <w:rsid w:val="000113F7"/>
    <w:rsid w:val="00050050"/>
    <w:rsid w:val="000B5B64"/>
    <w:rsid w:val="000C3621"/>
    <w:rsid w:val="000C387D"/>
    <w:rsid w:val="000C5BEB"/>
    <w:rsid w:val="0010197F"/>
    <w:rsid w:val="00117CA9"/>
    <w:rsid w:val="00147FEE"/>
    <w:rsid w:val="00173A82"/>
    <w:rsid w:val="0024259F"/>
    <w:rsid w:val="00292515"/>
    <w:rsid w:val="002D2C07"/>
    <w:rsid w:val="002E343A"/>
    <w:rsid w:val="002F0D05"/>
    <w:rsid w:val="003824C9"/>
    <w:rsid w:val="003A7174"/>
    <w:rsid w:val="003F0AFB"/>
    <w:rsid w:val="003F6177"/>
    <w:rsid w:val="004210DC"/>
    <w:rsid w:val="0045034C"/>
    <w:rsid w:val="00495999"/>
    <w:rsid w:val="004C11A7"/>
    <w:rsid w:val="004C1EDC"/>
    <w:rsid w:val="00503817"/>
    <w:rsid w:val="00506A86"/>
    <w:rsid w:val="0053386E"/>
    <w:rsid w:val="005721F6"/>
    <w:rsid w:val="005A31B2"/>
    <w:rsid w:val="005F4506"/>
    <w:rsid w:val="00653D65"/>
    <w:rsid w:val="00676542"/>
    <w:rsid w:val="006A4243"/>
    <w:rsid w:val="006A4589"/>
    <w:rsid w:val="006E088F"/>
    <w:rsid w:val="00742A22"/>
    <w:rsid w:val="00782A95"/>
    <w:rsid w:val="00785B67"/>
    <w:rsid w:val="00792678"/>
    <w:rsid w:val="007F7EFA"/>
    <w:rsid w:val="00814778"/>
    <w:rsid w:val="00853CBC"/>
    <w:rsid w:val="008876A8"/>
    <w:rsid w:val="00892EC8"/>
    <w:rsid w:val="008B6A39"/>
    <w:rsid w:val="00914A52"/>
    <w:rsid w:val="00923884"/>
    <w:rsid w:val="009808BC"/>
    <w:rsid w:val="009E2020"/>
    <w:rsid w:val="00A57B49"/>
    <w:rsid w:val="00B03DE8"/>
    <w:rsid w:val="00B223FB"/>
    <w:rsid w:val="00B55F69"/>
    <w:rsid w:val="00BD1EEA"/>
    <w:rsid w:val="00C13E0A"/>
    <w:rsid w:val="00C170AB"/>
    <w:rsid w:val="00C32B05"/>
    <w:rsid w:val="00C46988"/>
    <w:rsid w:val="00C66B83"/>
    <w:rsid w:val="00C66DB7"/>
    <w:rsid w:val="00C77DA7"/>
    <w:rsid w:val="00C830BA"/>
    <w:rsid w:val="00CC09FC"/>
    <w:rsid w:val="00CC1145"/>
    <w:rsid w:val="00CD6D3F"/>
    <w:rsid w:val="00D02466"/>
    <w:rsid w:val="00D46D70"/>
    <w:rsid w:val="00DA00B1"/>
    <w:rsid w:val="00DA4202"/>
    <w:rsid w:val="00DE550C"/>
    <w:rsid w:val="00E0693C"/>
    <w:rsid w:val="00E112D4"/>
    <w:rsid w:val="00E12508"/>
    <w:rsid w:val="00E13AEB"/>
    <w:rsid w:val="00E908CD"/>
    <w:rsid w:val="00E9488B"/>
    <w:rsid w:val="00F06FEE"/>
    <w:rsid w:val="00F10906"/>
    <w:rsid w:val="00F442A9"/>
    <w:rsid w:val="00F45298"/>
    <w:rsid w:val="00F47120"/>
    <w:rsid w:val="00F53DEE"/>
    <w:rsid w:val="00F8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D19B"/>
  <w15:chartTrackingRefBased/>
  <w15:docId w15:val="{BEFDDF33-7D7B-408E-83AB-47E747C7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8CD"/>
  </w:style>
  <w:style w:type="paragraph" w:styleId="3">
    <w:name w:val="heading 3"/>
    <w:basedOn w:val="a"/>
    <w:next w:val="a"/>
    <w:link w:val="30"/>
    <w:qFormat/>
    <w:rsid w:val="00F53DE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50C"/>
    <w:pPr>
      <w:ind w:left="720"/>
      <w:contextualSpacing/>
    </w:pPr>
  </w:style>
  <w:style w:type="table" w:styleId="a4">
    <w:name w:val="Table Grid"/>
    <w:basedOn w:val="a1"/>
    <w:uiPriority w:val="59"/>
    <w:rsid w:val="0024259F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6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6D70"/>
    <w:rPr>
      <w:rFonts w:ascii="Segoe UI" w:hAnsi="Segoe UI" w:cs="Segoe UI"/>
      <w:sz w:val="18"/>
      <w:szCs w:val="18"/>
    </w:rPr>
  </w:style>
  <w:style w:type="paragraph" w:customStyle="1" w:styleId="a7">
    <w:name w:val="Знак Знак"/>
    <w:basedOn w:val="a"/>
    <w:rsid w:val="00DA00B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8">
    <w:name w:val="Hyperlink"/>
    <w:basedOn w:val="a0"/>
    <w:uiPriority w:val="99"/>
    <w:unhideWhenUsed/>
    <w:rsid w:val="00495999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F53DE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9">
    <w:name w:val=" Знак Знак"/>
    <w:basedOn w:val="a"/>
    <w:rsid w:val="00F53DE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2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kp_buchaservys@bucha-rad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4190</TotalTime>
  <Pages>7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8</cp:revision>
  <cp:lastPrinted>2022-10-14T08:13:00Z</cp:lastPrinted>
  <dcterms:created xsi:type="dcterms:W3CDTF">2022-08-05T06:46:00Z</dcterms:created>
  <dcterms:modified xsi:type="dcterms:W3CDTF">2022-10-19T10:03:00Z</dcterms:modified>
</cp:coreProperties>
</file>